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3D77C5D7"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Pr="003F4EE8">
        <w:rPr>
          <w:b/>
          <w:i/>
          <w:noProof/>
          <w:sz w:val="28"/>
        </w:rPr>
        <w:t>R1-2</w:t>
      </w:r>
      <w:r w:rsidR="008C0919" w:rsidRPr="003F4EE8">
        <w:rPr>
          <w:b/>
          <w:i/>
          <w:noProof/>
          <w:sz w:val="28"/>
        </w:rPr>
        <w:t>40</w:t>
      </w:r>
      <w:r w:rsidR="00334F4E">
        <w:rPr>
          <w:b/>
          <w:i/>
          <w:sz w:val="28"/>
        </w:rPr>
        <w:t>3580</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429A9B8C"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6A4EA1C" w:rsidR="004F7A89" w:rsidRPr="00CE2E21" w:rsidRDefault="004F7A89" w:rsidP="00976173">
            <w:pPr>
              <w:pStyle w:val="CRCoverPage"/>
              <w:spacing w:after="0"/>
              <w:jc w:val="center"/>
              <w:rPr>
                <w:b/>
                <w:noProof/>
                <w:sz w:val="28"/>
              </w:rPr>
            </w:pPr>
            <w:r w:rsidRPr="00CE2E21">
              <w:rPr>
                <w:b/>
                <w:noProof/>
                <w:sz w:val="28"/>
              </w:rPr>
              <w:t>3</w:t>
            </w:r>
            <w:r w:rsidR="00A006DD">
              <w:rPr>
                <w:b/>
                <w:noProof/>
                <w:sz w:val="28"/>
              </w:rPr>
              <w:t>7</w:t>
            </w:r>
            <w:r w:rsidRPr="00CE2E21">
              <w:rPr>
                <w:b/>
                <w:noProof/>
                <w:sz w:val="28"/>
              </w:rPr>
              <w:t>.21</w:t>
            </w:r>
            <w:r w:rsidR="00A006DD">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60F353B" w:rsidR="004F7A89" w:rsidRPr="00CE2E21" w:rsidRDefault="00334F4E" w:rsidP="00976173">
            <w:pPr>
              <w:pStyle w:val="CRCoverPage"/>
              <w:spacing w:after="0"/>
              <w:jc w:val="center"/>
              <w:rPr>
                <w:noProof/>
              </w:rPr>
            </w:pPr>
            <w:r>
              <w:rPr>
                <w:b/>
                <w:noProof/>
                <w:sz w:val="28"/>
              </w:rPr>
              <w:t>0056</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92A361D" w:rsidR="004F7A89" w:rsidRPr="00CE2E21" w:rsidRDefault="00A006DD" w:rsidP="00976173">
            <w:pPr>
              <w:pStyle w:val="CRCoverPage"/>
              <w:spacing w:after="0"/>
              <w:ind w:left="100"/>
              <w:rPr>
                <w:noProof/>
              </w:rPr>
            </w:pPr>
            <w:r>
              <w:t xml:space="preserve">Correction on </w:t>
            </w:r>
            <w:r w:rsidR="00FE1FCB">
              <w:t>CAPC determination in multi-channel access procedure</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B7020AE" w:rsidR="004F7A89" w:rsidRPr="0085571D" w:rsidRDefault="00A006DD" w:rsidP="00976173">
            <w:pPr>
              <w:pStyle w:val="CRCoverPage"/>
              <w:spacing w:after="0"/>
              <w:ind w:left="100"/>
              <w:rPr>
                <w:noProof/>
                <w:lang w:val="en-US"/>
              </w:rPr>
            </w:pPr>
            <w:r w:rsidRPr="0085571D">
              <w:rPr>
                <w:noProof/>
                <w:lang w:val="en-US"/>
              </w:rPr>
              <w:t>Moderator (</w:t>
            </w:r>
            <w:r w:rsidR="008C0919" w:rsidRPr="0085571D">
              <w:rPr>
                <w:noProof/>
                <w:lang w:val="en-US"/>
              </w:rPr>
              <w:t>OPPO</w:t>
            </w:r>
            <w:r w:rsidRPr="0085571D">
              <w:rPr>
                <w:noProof/>
                <w:lang w:val="en-US"/>
              </w:rPr>
              <w:t xml:space="preserve">), </w:t>
            </w:r>
            <w:r w:rsidR="00C34F55" w:rsidRPr="0085571D">
              <w:rPr>
                <w:noProof/>
                <w:lang w:val="en-US"/>
              </w:rPr>
              <w:t>Sharp</w:t>
            </w:r>
            <w:r w:rsidR="0085571D" w:rsidRPr="0085571D">
              <w:rPr>
                <w:noProof/>
                <w:lang w:val="en-US"/>
              </w:rPr>
              <w:t>, Huawei, H</w:t>
            </w:r>
            <w:r w:rsidR="0085571D">
              <w:rPr>
                <w:noProof/>
                <w:lang w:val="en-US"/>
              </w:rPr>
              <w:t>iSilicon</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57F0C99B" w:rsidR="004F7A89" w:rsidRPr="00CE2E21" w:rsidRDefault="00F66668" w:rsidP="00976173">
            <w:pPr>
              <w:pStyle w:val="CRCoverPage"/>
              <w:spacing w:after="0"/>
              <w:ind w:left="100"/>
              <w:rPr>
                <w:noProof/>
              </w:rPr>
            </w:pPr>
            <w: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1B047C3A"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3F4EE8">
              <w:t>4</w:t>
            </w:r>
            <w:r w:rsidRPr="00CE2E21">
              <w:rPr>
                <w:noProof/>
              </w:rPr>
              <w:t>-</w:t>
            </w:r>
            <w:r w:rsidR="00F66668">
              <w:rPr>
                <w:lang w:val="en-AU"/>
              </w:rPr>
              <w:t>1</w:t>
            </w:r>
            <w:r w:rsidR="00A006DD">
              <w:rPr>
                <w:lang w:val="en-AU"/>
              </w:rPr>
              <w:t>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50F15" w:rsidRPr="00CE2E21" w14:paraId="36AF6363" w14:textId="77777777" w:rsidTr="008C0919">
        <w:tc>
          <w:tcPr>
            <w:tcW w:w="2694" w:type="dxa"/>
            <w:gridSpan w:val="2"/>
            <w:tcBorders>
              <w:top w:val="single" w:sz="4" w:space="0" w:color="auto"/>
              <w:left w:val="single" w:sz="4" w:space="0" w:color="auto"/>
            </w:tcBorders>
          </w:tcPr>
          <w:p w14:paraId="57798088" w14:textId="77777777" w:rsidR="00050F15" w:rsidRPr="00CE2E21" w:rsidRDefault="00050F15" w:rsidP="00050F1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2058F7E7" w14:textId="18D0B815" w:rsidR="00050F15" w:rsidRDefault="00050F15" w:rsidP="00FE1FCB">
            <w:pPr>
              <w:pStyle w:val="CRCoverPage"/>
              <w:spacing w:after="0"/>
              <w:rPr>
                <w:noProof/>
                <w:lang w:eastAsia="ja-JP"/>
              </w:rPr>
            </w:pPr>
            <w:bookmarkStart w:id="1" w:name="_Hlk163235698"/>
            <w:r>
              <w:rPr>
                <w:rFonts w:hint="eastAsia"/>
                <w:noProof/>
                <w:lang w:eastAsia="ja-JP"/>
              </w:rPr>
              <w:t>I</w:t>
            </w:r>
            <w:r>
              <w:rPr>
                <w:noProof/>
                <w:lang w:eastAsia="ja-JP"/>
              </w:rPr>
              <w:t xml:space="preserve">n current specification, CAPC is determined by taking multiple SL transmissions over one or multiple consecuive slots into consideration for performing Type 1 LBT to initiate a channel occupancy </w:t>
            </w:r>
            <w:r w:rsidRPr="002C2786">
              <w:rPr>
                <w:noProof/>
                <w:lang w:eastAsia="ja-JP"/>
              </w:rPr>
              <w:t>on a channel</w:t>
            </w:r>
            <w:r>
              <w:rPr>
                <w:noProof/>
                <w:lang w:eastAsia="ja-JP"/>
              </w:rPr>
              <w:t xml:space="preserve">. However, the CAPC determiantion in current specificaiton does not cover the case of multi-channel access procedure. As illustrated in the Figure below, if a UE does not take the future consecutive SL </w:t>
            </w:r>
            <w:r>
              <w:rPr>
                <w:rFonts w:hint="eastAsia"/>
                <w:noProof/>
                <w:lang w:eastAsia="ja-JP"/>
              </w:rPr>
              <w:t>transmis</w:t>
            </w:r>
            <w:r>
              <w:rPr>
                <w:noProof/>
                <w:lang w:eastAsia="ja-JP"/>
              </w:rPr>
              <w:t>s</w:t>
            </w:r>
            <w:r>
              <w:rPr>
                <w:rFonts w:hint="eastAsia"/>
                <w:noProof/>
                <w:lang w:eastAsia="ja-JP"/>
              </w:rPr>
              <w:t>io</w:t>
            </w:r>
            <w:r>
              <w:rPr>
                <w:noProof/>
                <w:lang w:eastAsia="ja-JP"/>
              </w:rPr>
              <w:t>ns with higher CAPC value into consideration in determining CAPC, the UE cannot utilize the CO and would be forced to perform a new Type 1 LBT to access the channel for transmitting PSSCH</w:t>
            </w:r>
            <w:r w:rsidR="00FE1FCB">
              <w:rPr>
                <w:noProof/>
                <w:lang w:eastAsia="ja-JP"/>
              </w:rPr>
              <w:t xml:space="preserve"> </w:t>
            </w:r>
            <w:r>
              <w:rPr>
                <w:noProof/>
                <w:lang w:eastAsia="ja-JP"/>
              </w:rPr>
              <w:t xml:space="preserve">(TB#2), which may </w:t>
            </w:r>
            <w:r w:rsidRPr="00BE3639">
              <w:rPr>
                <w:noProof/>
                <w:lang w:eastAsia="ja-JP"/>
              </w:rPr>
              <w:t>cause the SL transmission to be not successfully transmitted</w:t>
            </w:r>
            <w:r>
              <w:rPr>
                <w:noProof/>
                <w:lang w:eastAsia="ja-JP"/>
              </w:rPr>
              <w:t>.</w:t>
            </w:r>
          </w:p>
          <w:bookmarkEnd w:id="1"/>
          <w:p w14:paraId="102B18FC" w14:textId="77777777" w:rsidR="00050F15" w:rsidRDefault="00050F15" w:rsidP="00050F15">
            <w:pPr>
              <w:pStyle w:val="CRCoverPage"/>
              <w:spacing w:after="0"/>
              <w:rPr>
                <w:noProof/>
                <w:lang w:eastAsia="ja-JP"/>
              </w:rPr>
            </w:pPr>
          </w:p>
          <w:p w14:paraId="606A3AA3" w14:textId="77777777" w:rsidR="00050F15" w:rsidRDefault="00050F15" w:rsidP="00050F15">
            <w:pPr>
              <w:pStyle w:val="CRCoverPage"/>
              <w:spacing w:after="0"/>
              <w:ind w:left="100"/>
              <w:jc w:val="center"/>
              <w:rPr>
                <w:noProof/>
                <w:lang w:eastAsia="ja-JP"/>
              </w:rPr>
            </w:pPr>
            <w:r>
              <w:rPr>
                <w:noProof/>
                <w:lang w:eastAsia="ja-JP"/>
              </w:rPr>
              <w:drawing>
                <wp:inline distT="0" distB="0" distL="0" distR="0" wp14:anchorId="665856CE" wp14:editId="660703A3">
                  <wp:extent cx="3890645" cy="1201488"/>
                  <wp:effectExtent l="0" t="0" r="0" b="0"/>
                  <wp:docPr id="332788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3B57E9C1" w14:textId="1C5C69F1" w:rsidR="00050F15" w:rsidRPr="00A006DD" w:rsidRDefault="00050F15" w:rsidP="00050F15">
            <w:pPr>
              <w:pStyle w:val="3GPPNormalText"/>
              <w:widowControl w:val="0"/>
              <w:tabs>
                <w:tab w:val="clear" w:pos="1440"/>
              </w:tabs>
              <w:spacing w:before="120"/>
              <w:ind w:left="0" w:firstLine="0"/>
              <w:jc w:val="left"/>
              <w:rPr>
                <w:rFonts w:ascii="Arial" w:hAnsi="Arial" w:cs="Arial"/>
                <w:sz w:val="20"/>
                <w:szCs w:val="20"/>
              </w:rPr>
            </w:pPr>
          </w:p>
        </w:tc>
      </w:tr>
      <w:tr w:rsidR="00050F15" w:rsidRPr="00CE2E21" w14:paraId="3D294DE3" w14:textId="77777777" w:rsidTr="008C0919">
        <w:tc>
          <w:tcPr>
            <w:tcW w:w="2694" w:type="dxa"/>
            <w:gridSpan w:val="2"/>
            <w:tcBorders>
              <w:left w:val="single" w:sz="4" w:space="0" w:color="auto"/>
            </w:tcBorders>
          </w:tcPr>
          <w:p w14:paraId="01849161" w14:textId="77777777" w:rsidR="00050F15" w:rsidRPr="00CE2E21" w:rsidRDefault="00050F15" w:rsidP="00050F15">
            <w:pPr>
              <w:pStyle w:val="CRCoverPage"/>
              <w:spacing w:after="0"/>
              <w:rPr>
                <w:b/>
                <w:i/>
                <w:noProof/>
                <w:sz w:val="8"/>
                <w:szCs w:val="8"/>
              </w:rPr>
            </w:pPr>
          </w:p>
        </w:tc>
        <w:tc>
          <w:tcPr>
            <w:tcW w:w="6946" w:type="dxa"/>
            <w:gridSpan w:val="9"/>
            <w:tcBorders>
              <w:right w:val="single" w:sz="4" w:space="0" w:color="auto"/>
            </w:tcBorders>
          </w:tcPr>
          <w:p w14:paraId="55C9E37E" w14:textId="77777777" w:rsidR="00050F15" w:rsidRPr="00CE2E21" w:rsidRDefault="00050F15" w:rsidP="00050F15">
            <w:pPr>
              <w:pStyle w:val="CRCoverPage"/>
              <w:spacing w:after="0"/>
              <w:rPr>
                <w:noProof/>
                <w:sz w:val="8"/>
                <w:szCs w:val="8"/>
              </w:rPr>
            </w:pPr>
          </w:p>
        </w:tc>
      </w:tr>
      <w:tr w:rsidR="00050F15" w:rsidRPr="00CE2E21" w14:paraId="20D11BAF" w14:textId="77777777" w:rsidTr="008C0919">
        <w:tc>
          <w:tcPr>
            <w:tcW w:w="2694" w:type="dxa"/>
            <w:gridSpan w:val="2"/>
            <w:tcBorders>
              <w:left w:val="single" w:sz="4" w:space="0" w:color="auto"/>
            </w:tcBorders>
          </w:tcPr>
          <w:p w14:paraId="749DDF18" w14:textId="77777777" w:rsidR="00050F15" w:rsidRPr="00CE2E21" w:rsidRDefault="00050F15" w:rsidP="00050F1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71282CB" w:rsidR="00050F15" w:rsidRPr="008C0919" w:rsidRDefault="00050F15" w:rsidP="00050F15">
            <w:pPr>
              <w:pStyle w:val="CRCoverPage"/>
              <w:spacing w:before="120"/>
              <w:rPr>
                <w:rFonts w:cs="Arial"/>
                <w:lang w:val="en-AU"/>
              </w:rPr>
            </w:pPr>
            <w:r w:rsidRPr="00BE3639">
              <w:rPr>
                <w:noProof/>
                <w:lang w:eastAsia="ja-JP"/>
              </w:rPr>
              <w:t xml:space="preserve">Add a “multi-channel access procedure” to clarify that, </w:t>
            </w:r>
            <w:r>
              <w:rPr>
                <w:noProof/>
                <w:lang w:eastAsia="ja-JP"/>
              </w:rPr>
              <w:t>for multi channel access procedure, multiple SL transmisisons over one slot or mutiple consecutive slots are taken into consideration for CAPC determination.</w:t>
            </w:r>
          </w:p>
        </w:tc>
      </w:tr>
      <w:tr w:rsidR="00050F15" w:rsidRPr="00CE2E21" w14:paraId="3A680071" w14:textId="77777777" w:rsidTr="008C0919">
        <w:tc>
          <w:tcPr>
            <w:tcW w:w="2694" w:type="dxa"/>
            <w:gridSpan w:val="2"/>
            <w:tcBorders>
              <w:left w:val="single" w:sz="4" w:space="0" w:color="auto"/>
            </w:tcBorders>
          </w:tcPr>
          <w:p w14:paraId="111FBD2D" w14:textId="77777777" w:rsidR="00050F15" w:rsidRPr="00CE2E21" w:rsidRDefault="00050F15" w:rsidP="00050F15">
            <w:pPr>
              <w:pStyle w:val="CRCoverPage"/>
              <w:spacing w:after="0"/>
              <w:rPr>
                <w:b/>
                <w:i/>
                <w:noProof/>
                <w:sz w:val="8"/>
                <w:szCs w:val="8"/>
              </w:rPr>
            </w:pPr>
          </w:p>
        </w:tc>
        <w:tc>
          <w:tcPr>
            <w:tcW w:w="6946" w:type="dxa"/>
            <w:gridSpan w:val="9"/>
            <w:tcBorders>
              <w:right w:val="single" w:sz="4" w:space="0" w:color="auto"/>
            </w:tcBorders>
          </w:tcPr>
          <w:p w14:paraId="09A92E75" w14:textId="77777777" w:rsidR="00050F15" w:rsidRPr="00CE2E21" w:rsidRDefault="00050F15" w:rsidP="00050F15">
            <w:pPr>
              <w:pStyle w:val="CRCoverPage"/>
              <w:spacing w:after="0"/>
              <w:rPr>
                <w:noProof/>
                <w:sz w:val="8"/>
                <w:szCs w:val="8"/>
              </w:rPr>
            </w:pPr>
          </w:p>
        </w:tc>
      </w:tr>
      <w:tr w:rsidR="00050F15" w:rsidRPr="00CE2E21" w14:paraId="2349B239" w14:textId="77777777" w:rsidTr="008C0919">
        <w:tc>
          <w:tcPr>
            <w:tcW w:w="2694" w:type="dxa"/>
            <w:gridSpan w:val="2"/>
            <w:tcBorders>
              <w:left w:val="single" w:sz="4" w:space="0" w:color="auto"/>
              <w:bottom w:val="single" w:sz="4" w:space="0" w:color="auto"/>
            </w:tcBorders>
          </w:tcPr>
          <w:p w14:paraId="61AA84A2" w14:textId="77777777" w:rsidR="00050F15" w:rsidRPr="00CE2E21" w:rsidRDefault="00050F15" w:rsidP="00050F1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814D7C6" w:rsidR="00050F15" w:rsidRPr="008C0919" w:rsidRDefault="00050F15" w:rsidP="00050F15">
            <w:pPr>
              <w:pStyle w:val="CRCoverPage"/>
              <w:spacing w:before="120"/>
            </w:pPr>
            <w:r w:rsidRPr="00BE3639">
              <w:rPr>
                <w:noProof/>
              </w:rPr>
              <w:t xml:space="preserve">When a UE performs a multi-channel access procedure to initiate channel occupancy for multiple </w:t>
            </w:r>
            <w:r>
              <w:rPr>
                <w:noProof/>
              </w:rPr>
              <w:t xml:space="preserve">cosecutive </w:t>
            </w:r>
            <w:r w:rsidRPr="00BE3639">
              <w:rPr>
                <w:noProof/>
              </w:rPr>
              <w:t xml:space="preserve">SL transmissions </w:t>
            </w:r>
            <w:r>
              <w:rPr>
                <w:noProof/>
              </w:rPr>
              <w:t>within</w:t>
            </w:r>
            <w:r w:rsidRPr="00BE3639">
              <w:rPr>
                <w:noProof/>
              </w:rPr>
              <w:t xml:space="preserve"> a set of channels, a </w:t>
            </w:r>
            <w:r>
              <w:rPr>
                <w:noProof/>
              </w:rPr>
              <w:t xml:space="preserve">consecutive </w:t>
            </w:r>
            <w:r w:rsidRPr="00BE3639">
              <w:rPr>
                <w:noProof/>
              </w:rPr>
              <w:t xml:space="preserve">SL transmission in a channel associated with higher CAPC </w:t>
            </w:r>
            <w:r w:rsidRPr="00BE3639">
              <w:rPr>
                <w:noProof/>
              </w:rPr>
              <w:lastRenderedPageBreak/>
              <w:t>value than the CAPC value to be used in Type 1 channel access in</w:t>
            </w:r>
            <w:r>
              <w:rPr>
                <w:noProof/>
              </w:rPr>
              <w:t xml:space="preserve"> a</w:t>
            </w:r>
            <w:r w:rsidRPr="00BE3639">
              <w:rPr>
                <w:noProof/>
              </w:rPr>
              <w:t xml:space="preserve"> channel cannot use the initiated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2A98E34F" w:rsidR="004F7A89" w:rsidRPr="008C0919" w:rsidRDefault="00A006DD" w:rsidP="00976173">
            <w:pPr>
              <w:pStyle w:val="CRCoverPage"/>
              <w:spacing w:after="0"/>
              <w:ind w:left="100"/>
              <w:rPr>
                <w:lang w:val="en-AU"/>
              </w:rPr>
            </w:pPr>
            <w:r>
              <w:rPr>
                <w:lang w:val="en-AU"/>
              </w:rPr>
              <w:t>4.5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C53F32">
          <w:headerReference w:type="even" r:id="rId17"/>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028C096B" w14:textId="77777777" w:rsidR="00050F15" w:rsidRPr="0071525C" w:rsidRDefault="00050F15" w:rsidP="00050F15">
      <w:pPr>
        <w:pStyle w:val="Heading2"/>
      </w:pPr>
      <w:bookmarkStart w:id="2" w:name="_Toc153443569"/>
      <w:r w:rsidRPr="0071525C">
        <w:t>4.5</w:t>
      </w:r>
      <w:r w:rsidRPr="0071525C">
        <w:tab/>
        <w:t>Sidelink Channel access procedures</w:t>
      </w:r>
      <w:bookmarkEnd w:id="2"/>
    </w:p>
    <w:p w14:paraId="5152047E" w14:textId="77777777" w:rsidR="00050F15" w:rsidRPr="0071525C" w:rsidRDefault="00050F15" w:rsidP="00050F15">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2833F93" w14:textId="77777777" w:rsidR="00050F15" w:rsidRPr="0071525C" w:rsidRDefault="00050F15" w:rsidP="00050F15">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102AC72B" w14:textId="77777777" w:rsidR="00050F15" w:rsidRPr="0071525C" w:rsidRDefault="00050F15" w:rsidP="00050F15">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54276B27" w14:textId="77777777" w:rsidR="00050F15" w:rsidRPr="0071525C" w:rsidRDefault="00050F15" w:rsidP="00050F15">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0746894B" w14:textId="77777777" w:rsidR="00050F15" w:rsidRPr="0071525C" w:rsidRDefault="00050F15" w:rsidP="00050F15">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380DB8B8" w14:textId="77777777" w:rsidR="00050F15" w:rsidRPr="0071525C" w:rsidRDefault="00050F15" w:rsidP="00050F15">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017446B6" w14:textId="77777777" w:rsidR="00050F15" w:rsidRPr="0071525C" w:rsidRDefault="00050F15" w:rsidP="00050F15">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4C95BC1" w14:textId="6824624B" w:rsidR="00050F15" w:rsidRPr="0071525C" w:rsidRDefault="00050F15" w:rsidP="00050F15">
      <w:pPr>
        <w:rPr>
          <w:rFonts w:eastAsia="Malgun Gothic"/>
        </w:rPr>
      </w:pPr>
      <w:r w:rsidRPr="0071525C">
        <w:rPr>
          <w:lang w:val="en-US"/>
        </w:rPr>
        <w:t xml:space="preserve">When a UE </w:t>
      </w:r>
      <w:r w:rsidRPr="0071525C">
        <w:rPr>
          <w:rFonts w:eastAsia="Malgun Gothic"/>
        </w:rPr>
        <w:t xml:space="preserve">applies Type 1 channel access procedure </w:t>
      </w:r>
      <w:ins w:id="3" w:author="Kevin Lin" w:date="2024-04-16T10:59:00Z">
        <w:r>
          <w:rPr>
            <w:rFonts w:eastAsia="Malgun Gothic"/>
          </w:rPr>
          <w:t xml:space="preserve">or multi-channel access procedure </w:t>
        </w:r>
      </w:ins>
      <w:r w:rsidRPr="0071525C">
        <w:rPr>
          <w:rFonts w:eastAsia="Malgun Gothic"/>
        </w:rPr>
        <w:t xml:space="preserve">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ins w:id="4" w:author="Kevin Lin" w:date="2024-04-16T11:00:00Z">
        <w:r>
          <w:rPr>
            <w:rFonts w:eastAsia="Malgun Gothic"/>
          </w:rPr>
          <w:t xml:space="preserve"> or multi-channel access procedure</w:t>
        </w:r>
      </w:ins>
      <w:r w:rsidRPr="0071525C">
        <w:rPr>
          <w:rFonts w:eastAsia="Malgun Gothic"/>
        </w:rPr>
        <w:t>.</w:t>
      </w:r>
    </w:p>
    <w:p w14:paraId="2C545305" w14:textId="5B288CDD" w:rsidR="00050F15" w:rsidRPr="00050F15" w:rsidRDefault="00050F15" w:rsidP="00050F15">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C53F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BE63" w14:textId="77777777" w:rsidR="00C53F32" w:rsidRDefault="00C53F32">
      <w:r>
        <w:separator/>
      </w:r>
    </w:p>
  </w:endnote>
  <w:endnote w:type="continuationSeparator" w:id="0">
    <w:p w14:paraId="5CB694BD" w14:textId="77777777" w:rsidR="00C53F32" w:rsidRDefault="00C53F32">
      <w:r>
        <w:continuationSeparator/>
      </w:r>
    </w:p>
  </w:endnote>
  <w:endnote w:type="continuationNotice" w:id="1">
    <w:p w14:paraId="1C1AE38F" w14:textId="77777777" w:rsidR="00C53F32" w:rsidRDefault="00C53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EE45C" w14:textId="77777777" w:rsidR="00C53F32" w:rsidRDefault="00C53F32">
      <w:r>
        <w:separator/>
      </w:r>
    </w:p>
  </w:footnote>
  <w:footnote w:type="continuationSeparator" w:id="0">
    <w:p w14:paraId="0E001A10" w14:textId="77777777" w:rsidR="00C53F32" w:rsidRDefault="00C53F32">
      <w:r>
        <w:continuationSeparator/>
      </w:r>
    </w:p>
  </w:footnote>
  <w:footnote w:type="continuationNotice" w:id="1">
    <w:p w14:paraId="252300F6" w14:textId="77777777" w:rsidR="00C53F32" w:rsidRDefault="00C53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0"/>
  </w:num>
  <w:num w:numId="4" w16cid:durableId="1005520427">
    <w:abstractNumId w:val="26"/>
  </w:num>
  <w:num w:numId="5" w16cid:durableId="1256740955">
    <w:abstractNumId w:val="14"/>
  </w:num>
  <w:num w:numId="6" w16cid:durableId="43918584">
    <w:abstractNumId w:val="7"/>
  </w:num>
  <w:num w:numId="7" w16cid:durableId="1037926101">
    <w:abstractNumId w:val="9"/>
  </w:num>
  <w:num w:numId="8" w16cid:durableId="1300913687">
    <w:abstractNumId w:val="30"/>
  </w:num>
  <w:num w:numId="9" w16cid:durableId="2136018182">
    <w:abstractNumId w:val="28"/>
  </w:num>
  <w:num w:numId="10" w16cid:durableId="970326779">
    <w:abstractNumId w:val="8"/>
  </w:num>
  <w:num w:numId="11" w16cid:durableId="563370816">
    <w:abstractNumId w:val="47"/>
  </w:num>
  <w:num w:numId="12" w16cid:durableId="1193612363">
    <w:abstractNumId w:val="32"/>
  </w:num>
  <w:num w:numId="13" w16cid:durableId="493255240">
    <w:abstractNumId w:val="6"/>
  </w:num>
  <w:num w:numId="14" w16cid:durableId="1013264677">
    <w:abstractNumId w:val="3"/>
  </w:num>
  <w:num w:numId="15" w16cid:durableId="893853506">
    <w:abstractNumId w:val="36"/>
  </w:num>
  <w:num w:numId="16" w16cid:durableId="905601944">
    <w:abstractNumId w:val="34"/>
  </w:num>
  <w:num w:numId="17" w16cid:durableId="1481533453">
    <w:abstractNumId w:val="46"/>
  </w:num>
  <w:num w:numId="18" w16cid:durableId="1590236653">
    <w:abstractNumId w:val="18"/>
  </w:num>
  <w:num w:numId="19" w16cid:durableId="1333875600">
    <w:abstractNumId w:val="0"/>
  </w:num>
  <w:num w:numId="20" w16cid:durableId="518008267">
    <w:abstractNumId w:val="33"/>
  </w:num>
  <w:num w:numId="21" w16cid:durableId="1296836428">
    <w:abstractNumId w:val="48"/>
  </w:num>
  <w:num w:numId="22" w16cid:durableId="278025794">
    <w:abstractNumId w:val="20"/>
  </w:num>
  <w:num w:numId="23" w16cid:durableId="1946184352">
    <w:abstractNumId w:val="27"/>
  </w:num>
  <w:num w:numId="24" w16cid:durableId="1476335010">
    <w:abstractNumId w:val="24"/>
  </w:num>
  <w:num w:numId="25" w16cid:durableId="1272054087">
    <w:abstractNumId w:val="23"/>
  </w:num>
  <w:num w:numId="26" w16cid:durableId="938293992">
    <w:abstractNumId w:val="17"/>
  </w:num>
  <w:num w:numId="27" w16cid:durableId="1679308256">
    <w:abstractNumId w:val="4"/>
  </w:num>
  <w:num w:numId="28" w16cid:durableId="820200397">
    <w:abstractNumId w:val="49"/>
  </w:num>
  <w:num w:numId="29" w16cid:durableId="2071803052">
    <w:abstractNumId w:val="44"/>
  </w:num>
  <w:num w:numId="30" w16cid:durableId="427191626">
    <w:abstractNumId w:val="11"/>
  </w:num>
  <w:num w:numId="31" w16cid:durableId="1089699106">
    <w:abstractNumId w:val="50"/>
  </w:num>
  <w:num w:numId="32" w16cid:durableId="1085686951">
    <w:abstractNumId w:val="19"/>
  </w:num>
  <w:num w:numId="33" w16cid:durableId="2132439026">
    <w:abstractNumId w:val="45"/>
  </w:num>
  <w:num w:numId="34" w16cid:durableId="158734215">
    <w:abstractNumId w:val="15"/>
  </w:num>
  <w:num w:numId="35" w16cid:durableId="1577393423">
    <w:abstractNumId w:val="38"/>
  </w:num>
  <w:num w:numId="36" w16cid:durableId="10331925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1"/>
  </w:num>
  <w:num w:numId="38" w16cid:durableId="508107227">
    <w:abstractNumId w:val="41"/>
  </w:num>
  <w:num w:numId="39" w16cid:durableId="1099182516">
    <w:abstractNumId w:val="29"/>
  </w:num>
  <w:num w:numId="40" w16cid:durableId="1632202088">
    <w:abstractNumId w:val="22"/>
  </w:num>
  <w:num w:numId="41" w16cid:durableId="1854034441">
    <w:abstractNumId w:val="16"/>
  </w:num>
  <w:num w:numId="42" w16cid:durableId="1033383546">
    <w:abstractNumId w:val="13"/>
  </w:num>
  <w:num w:numId="43" w16cid:durableId="416631126">
    <w:abstractNumId w:val="5"/>
  </w:num>
  <w:num w:numId="44" w16cid:durableId="223106799">
    <w:abstractNumId w:val="31"/>
  </w:num>
  <w:num w:numId="45" w16cid:durableId="1272282063">
    <w:abstractNumId w:val="12"/>
  </w:num>
  <w:num w:numId="46" w16cid:durableId="763696403">
    <w:abstractNumId w:val="42"/>
  </w:num>
  <w:num w:numId="47" w16cid:durableId="22826616">
    <w:abstractNumId w:val="10"/>
  </w:num>
  <w:num w:numId="48" w16cid:durableId="44649172">
    <w:abstractNumId w:val="43"/>
  </w:num>
  <w:num w:numId="49" w16cid:durableId="1476140531">
    <w:abstractNumId w:val="37"/>
  </w:num>
  <w:num w:numId="50" w16cid:durableId="1756587665">
    <w:abstractNumId w:val="35"/>
  </w:num>
  <w:num w:numId="51" w16cid:durableId="702707365">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C4174"/>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4F4E"/>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35EC"/>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571D"/>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3F32"/>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3018"/>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5A18"/>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748</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4</cp:revision>
  <cp:lastPrinted>1900-01-01T18:00:00Z</cp:lastPrinted>
  <dcterms:created xsi:type="dcterms:W3CDTF">2024-04-17T04:11:00Z</dcterms:created>
  <dcterms:modified xsi:type="dcterms:W3CDTF">2024-04-25T13:19:00Z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